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6A" w:rsidRDefault="00DA0FFE" w:rsidP="00DA0FFE">
      <w:pPr>
        <w:jc w:val="center"/>
        <w:rPr>
          <w:b/>
          <w:sz w:val="32"/>
        </w:rPr>
      </w:pPr>
      <w:r w:rsidRPr="00DA0FFE">
        <w:rPr>
          <w:b/>
          <w:sz w:val="32"/>
        </w:rPr>
        <w:t>Il</w:t>
      </w:r>
      <w:r w:rsidR="005D0B88">
        <w:rPr>
          <w:b/>
          <w:sz w:val="32"/>
        </w:rPr>
        <w:noBreakHyphen/>
      </w:r>
      <w:r w:rsidRPr="00DA0FFE">
        <w:rPr>
          <w:b/>
          <w:sz w:val="32"/>
        </w:rPr>
        <w:t>Ħrafa ta’ www.kullkulur.com</w:t>
      </w:r>
      <w:r w:rsidR="00857123">
        <w:rPr>
          <w:b/>
          <w:sz w:val="32"/>
        </w:rPr>
        <w:t xml:space="preserve"> </w:t>
      </w:r>
    </w:p>
    <w:p w:rsidR="00DA0FFE" w:rsidRPr="00DA0FFE" w:rsidRDefault="005D0B88" w:rsidP="00DA0FFE">
      <w:pPr>
        <w:jc w:val="center"/>
        <w:rPr>
          <w:b/>
        </w:rPr>
      </w:pPr>
      <w:r w:rsidRPr="005D0B88">
        <w:rPr>
          <w:b/>
          <w:noProof/>
          <w:sz w:val="32"/>
          <w:lang w:eastAsia="mt-M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-74930</wp:posOffset>
            </wp:positionH>
            <wp:positionV relativeFrom="page">
              <wp:posOffset>1341120</wp:posOffset>
            </wp:positionV>
            <wp:extent cx="1435735" cy="1148715"/>
            <wp:effectExtent l="0" t="0" r="0" b="0"/>
            <wp:wrapTight wrapText="bothSides">
              <wp:wrapPolygon edited="0">
                <wp:start x="0" y="0"/>
                <wp:lineTo x="0" y="21134"/>
                <wp:lineTo x="21208" y="21134"/>
                <wp:lineTo x="21208" y="0"/>
                <wp:lineTo x="0" y="0"/>
              </wp:wrapPolygon>
            </wp:wrapTight>
            <wp:docPr id="1026" name="Picture 2" descr="https://waterfordwhispersnews.com/wp-content/uploads/2020/03/woman-in-car-e1583774082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aterfordwhispersnews.com/wp-content/uploads/2020/03/woman-in-car-e15837740829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14"/>
                    <a:stretch/>
                  </pic:blipFill>
                  <pic:spPr bwMode="auto">
                    <a:xfrm flipH="1">
                      <a:off x="0" y="0"/>
                      <a:ext cx="143573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B88">
        <w:rPr>
          <w:b/>
          <w:noProof/>
          <w:sz w:val="32"/>
          <w:lang w:eastAsia="mt-M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211455</wp:posOffset>
            </wp:positionV>
            <wp:extent cx="1209040" cy="1224915"/>
            <wp:effectExtent l="0" t="0" r="0" b="0"/>
            <wp:wrapTight wrapText="bothSides">
              <wp:wrapPolygon edited="0">
                <wp:start x="10550" y="1680"/>
                <wp:lineTo x="8168" y="2351"/>
                <wp:lineTo x="5445" y="5375"/>
                <wp:lineTo x="5105" y="13101"/>
                <wp:lineTo x="2382" y="15788"/>
                <wp:lineTo x="340" y="18140"/>
                <wp:lineTo x="0" y="21163"/>
                <wp:lineTo x="21101" y="21163"/>
                <wp:lineTo x="21101" y="17468"/>
                <wp:lineTo x="20420" y="16460"/>
                <wp:lineTo x="16676" y="13101"/>
                <wp:lineTo x="15655" y="7390"/>
                <wp:lineTo x="13954" y="4367"/>
                <wp:lineTo x="12252" y="1680"/>
                <wp:lineTo x="10550" y="168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/>
                    <a:stretch/>
                  </pic:blipFill>
                  <pic:spPr>
                    <a:xfrm>
                      <a:off x="0" y="0"/>
                      <a:ext cx="120904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FFE">
        <w:rPr>
          <w:b/>
          <w:sz w:val="32"/>
        </w:rPr>
        <w:t xml:space="preserve">ta’ </w:t>
      </w:r>
      <w:r w:rsidR="00DA0FFE" w:rsidRPr="00DA0FFE">
        <w:rPr>
          <w:b/>
          <w:i/>
          <w:sz w:val="32"/>
        </w:rPr>
        <w:t>Trevor Żahra</w:t>
      </w:r>
    </w:p>
    <w:p w:rsidR="00857123" w:rsidRPr="00065F2D" w:rsidRDefault="00857123">
      <w:r w:rsidRPr="00065F2D">
        <w:t>Il</w:t>
      </w:r>
      <w:r w:rsidR="005D0B88">
        <w:noBreakHyphen/>
      </w:r>
      <w:r w:rsidRPr="00065F2D">
        <w:t>protagonisti ta’ din in</w:t>
      </w:r>
      <w:r w:rsidR="005D0B88">
        <w:noBreakHyphen/>
      </w:r>
      <w:r w:rsidRPr="00065F2D">
        <w:t xml:space="preserve">novella huma żewġ kuġini li jidhru differenti ħafna minn xulxin. </w:t>
      </w:r>
    </w:p>
    <w:p w:rsidR="00857123" w:rsidRPr="00065F2D" w:rsidRDefault="00857123">
      <w:r w:rsidRPr="00065F2D">
        <w:t>Agħmel lista ta’ ħamsa minn dawn id</w:t>
      </w:r>
      <w:r w:rsidR="005D0B88">
        <w:noBreakHyphen/>
      </w:r>
      <w:r w:rsidRPr="00065F2D">
        <w:t>differenzi. Segwi l</w:t>
      </w:r>
      <w:r w:rsidR="005D0B88">
        <w:noBreakHyphen/>
      </w:r>
      <w:r w:rsidRPr="00065F2D">
        <w:t xml:space="preserve">eżempju. </w:t>
      </w:r>
    </w:p>
    <w:tbl>
      <w:tblPr>
        <w:tblStyle w:val="TableGrid"/>
        <w:tblW w:w="9509" w:type="dxa"/>
        <w:tblLayout w:type="fixed"/>
        <w:tblLook w:val="04A0" w:firstRow="1" w:lastRow="0" w:firstColumn="1" w:lastColumn="0" w:noHBand="0" w:noVBand="1"/>
      </w:tblPr>
      <w:tblGrid>
        <w:gridCol w:w="567"/>
        <w:gridCol w:w="4471"/>
        <w:gridCol w:w="4471"/>
      </w:tblGrid>
      <w:tr w:rsidR="00857123" w:rsidRPr="00857123" w:rsidTr="00065F2D">
        <w:trPr>
          <w:trHeight w:val="637"/>
        </w:trPr>
        <w:tc>
          <w:tcPr>
            <w:tcW w:w="567" w:type="dxa"/>
            <w:vAlign w:val="center"/>
          </w:tcPr>
          <w:p w:rsidR="00857123" w:rsidRPr="00857123" w:rsidRDefault="00857123" w:rsidP="00065F2D">
            <w:pPr>
              <w:ind w:right="-108"/>
              <w:jc w:val="center"/>
              <w:rPr>
                <w:b/>
                <w:sz w:val="28"/>
              </w:rPr>
            </w:pPr>
          </w:p>
        </w:tc>
        <w:tc>
          <w:tcPr>
            <w:tcW w:w="4471" w:type="dxa"/>
            <w:vAlign w:val="center"/>
          </w:tcPr>
          <w:p w:rsidR="00857123" w:rsidRPr="00857123" w:rsidRDefault="00857123" w:rsidP="00065F2D">
            <w:pPr>
              <w:jc w:val="center"/>
              <w:rPr>
                <w:b/>
                <w:sz w:val="28"/>
              </w:rPr>
            </w:pPr>
            <w:r w:rsidRPr="00857123">
              <w:rPr>
                <w:b/>
                <w:sz w:val="28"/>
              </w:rPr>
              <w:t>Is</w:t>
            </w:r>
            <w:r w:rsidR="005D0B88">
              <w:rPr>
                <w:b/>
                <w:sz w:val="28"/>
              </w:rPr>
              <w:noBreakHyphen/>
            </w:r>
            <w:r w:rsidRPr="00857123">
              <w:rPr>
                <w:b/>
                <w:sz w:val="28"/>
              </w:rPr>
              <w:t>Sinjura Adeodata</w:t>
            </w:r>
          </w:p>
        </w:tc>
        <w:tc>
          <w:tcPr>
            <w:tcW w:w="4471" w:type="dxa"/>
            <w:vAlign w:val="center"/>
          </w:tcPr>
          <w:p w:rsidR="00857123" w:rsidRPr="00857123" w:rsidRDefault="00857123" w:rsidP="00065F2D">
            <w:pPr>
              <w:jc w:val="center"/>
              <w:rPr>
                <w:b/>
                <w:sz w:val="28"/>
              </w:rPr>
            </w:pPr>
            <w:r w:rsidRPr="00857123">
              <w:rPr>
                <w:b/>
                <w:sz w:val="28"/>
              </w:rPr>
              <w:t>Rożi</w:t>
            </w:r>
          </w:p>
        </w:tc>
      </w:tr>
      <w:tr w:rsidR="00857123" w:rsidRPr="00065F2D" w:rsidTr="00065F2D">
        <w:trPr>
          <w:trHeight w:val="1098"/>
        </w:trPr>
        <w:tc>
          <w:tcPr>
            <w:tcW w:w="567" w:type="dxa"/>
          </w:tcPr>
          <w:p w:rsidR="00857123" w:rsidRPr="00065F2D" w:rsidRDefault="00857123" w:rsidP="00065F2D">
            <w:pPr>
              <w:ind w:right="-108"/>
              <w:jc w:val="center"/>
              <w:rPr>
                <w:b/>
              </w:rPr>
            </w:pPr>
            <w:r w:rsidRPr="00065F2D">
              <w:rPr>
                <w:b/>
              </w:rPr>
              <w:t>0.</w:t>
            </w:r>
          </w:p>
        </w:tc>
        <w:tc>
          <w:tcPr>
            <w:tcW w:w="4471" w:type="dxa"/>
          </w:tcPr>
          <w:p w:rsidR="00857123" w:rsidRPr="00ED4577" w:rsidRDefault="00065F2D" w:rsidP="00065F2D">
            <w:pPr>
              <w:rPr>
                <w:rFonts w:ascii="Segoe Print" w:hAnsi="Segoe Print"/>
                <w:sz w:val="22"/>
              </w:rPr>
            </w:pPr>
            <w:r w:rsidRPr="00ED4577">
              <w:rPr>
                <w:rFonts w:ascii="Segoe Print" w:hAnsi="Segoe Print"/>
                <w:sz w:val="22"/>
              </w:rPr>
              <w:t>Finanzjarjament g</w:t>
            </w:r>
            <w:r w:rsidR="00857123" w:rsidRPr="00ED4577">
              <w:rPr>
                <w:rFonts w:ascii="Segoe Print" w:hAnsi="Segoe Print"/>
                <w:sz w:val="22"/>
              </w:rPr>
              <w:t>ħandha dak kollu li tixtieq qalbha peress li wirtet lil żewġha li kien sin</w:t>
            </w:r>
            <w:bookmarkStart w:id="0" w:name="_GoBack"/>
            <w:bookmarkEnd w:id="0"/>
            <w:r w:rsidR="00857123" w:rsidRPr="00ED4577">
              <w:rPr>
                <w:rFonts w:ascii="Segoe Print" w:hAnsi="Segoe Print"/>
                <w:sz w:val="22"/>
              </w:rPr>
              <w:t xml:space="preserve">jur ħafna. </w:t>
            </w:r>
          </w:p>
        </w:tc>
        <w:tc>
          <w:tcPr>
            <w:tcW w:w="4471" w:type="dxa"/>
          </w:tcPr>
          <w:p w:rsidR="00857123" w:rsidRPr="00ED4577" w:rsidRDefault="00065F2D" w:rsidP="00ED4577">
            <w:pPr>
              <w:rPr>
                <w:rFonts w:ascii="Segoe Print" w:hAnsi="Segoe Print"/>
                <w:sz w:val="22"/>
              </w:rPr>
            </w:pPr>
            <w:r w:rsidRPr="00ED4577">
              <w:rPr>
                <w:rFonts w:ascii="Segoe Print" w:hAnsi="Segoe Print"/>
                <w:sz w:val="22"/>
              </w:rPr>
              <w:t>Ta’ fuqha senduqha, tant li meta binha Stefan talabha tixtrilu kompjuter, damet taħsibha u aċċertat ruħha mal</w:t>
            </w:r>
            <w:r w:rsidR="005D0B88" w:rsidRPr="00ED4577">
              <w:rPr>
                <w:rFonts w:ascii="Segoe Print" w:hAnsi="Segoe Print"/>
                <w:sz w:val="22"/>
              </w:rPr>
              <w:noBreakHyphen/>
            </w:r>
            <w:r w:rsidRPr="00ED4577">
              <w:rPr>
                <w:rFonts w:ascii="Segoe Print" w:hAnsi="Segoe Print"/>
                <w:sz w:val="22"/>
              </w:rPr>
              <w:t>għalliem tiegħu li tassew kellu bżonn wieħed għall</w:t>
            </w:r>
            <w:r w:rsidR="005D0B88" w:rsidRPr="00ED4577">
              <w:rPr>
                <w:rFonts w:ascii="Segoe Print" w:hAnsi="Segoe Print"/>
                <w:sz w:val="22"/>
              </w:rPr>
              <w:noBreakHyphen/>
            </w:r>
            <w:r w:rsidRPr="00ED4577">
              <w:rPr>
                <w:rFonts w:ascii="Segoe Print" w:hAnsi="Segoe Print"/>
                <w:sz w:val="22"/>
              </w:rPr>
              <w:t xml:space="preserve">istudju tiegħu. </w:t>
            </w:r>
          </w:p>
        </w:tc>
      </w:tr>
      <w:tr w:rsidR="00857123" w:rsidTr="00ED4577">
        <w:trPr>
          <w:trHeight w:val="1247"/>
        </w:trPr>
        <w:tc>
          <w:tcPr>
            <w:tcW w:w="567" w:type="dxa"/>
          </w:tcPr>
          <w:p w:rsidR="00857123" w:rsidRDefault="00857123" w:rsidP="00857123">
            <w:pPr>
              <w:ind w:right="-108"/>
              <w:jc w:val="center"/>
            </w:pPr>
          </w:p>
        </w:tc>
        <w:tc>
          <w:tcPr>
            <w:tcW w:w="4471" w:type="dxa"/>
          </w:tcPr>
          <w:p w:rsidR="00857123" w:rsidRDefault="00857123"/>
        </w:tc>
        <w:tc>
          <w:tcPr>
            <w:tcW w:w="4471" w:type="dxa"/>
          </w:tcPr>
          <w:p w:rsidR="00857123" w:rsidRDefault="00857123"/>
        </w:tc>
      </w:tr>
      <w:tr w:rsidR="00857123" w:rsidTr="00ED4577">
        <w:trPr>
          <w:trHeight w:val="1247"/>
        </w:trPr>
        <w:tc>
          <w:tcPr>
            <w:tcW w:w="567" w:type="dxa"/>
          </w:tcPr>
          <w:p w:rsidR="00857123" w:rsidRDefault="00857123" w:rsidP="00857123">
            <w:pPr>
              <w:ind w:right="-108"/>
              <w:jc w:val="center"/>
            </w:pPr>
          </w:p>
        </w:tc>
        <w:tc>
          <w:tcPr>
            <w:tcW w:w="4471" w:type="dxa"/>
          </w:tcPr>
          <w:p w:rsidR="00857123" w:rsidRDefault="00857123"/>
        </w:tc>
        <w:tc>
          <w:tcPr>
            <w:tcW w:w="4471" w:type="dxa"/>
          </w:tcPr>
          <w:p w:rsidR="00857123" w:rsidRDefault="00857123"/>
        </w:tc>
      </w:tr>
      <w:tr w:rsidR="00857123" w:rsidTr="00ED4577">
        <w:trPr>
          <w:trHeight w:val="1247"/>
        </w:trPr>
        <w:tc>
          <w:tcPr>
            <w:tcW w:w="567" w:type="dxa"/>
          </w:tcPr>
          <w:p w:rsidR="00857123" w:rsidRDefault="00857123" w:rsidP="00857123">
            <w:pPr>
              <w:ind w:right="-108"/>
              <w:jc w:val="center"/>
            </w:pPr>
          </w:p>
        </w:tc>
        <w:tc>
          <w:tcPr>
            <w:tcW w:w="4471" w:type="dxa"/>
          </w:tcPr>
          <w:p w:rsidR="00857123" w:rsidRDefault="00857123"/>
        </w:tc>
        <w:tc>
          <w:tcPr>
            <w:tcW w:w="4471" w:type="dxa"/>
          </w:tcPr>
          <w:p w:rsidR="00857123" w:rsidRDefault="00857123"/>
        </w:tc>
      </w:tr>
      <w:tr w:rsidR="00857123" w:rsidTr="00ED4577">
        <w:trPr>
          <w:trHeight w:val="1247"/>
        </w:trPr>
        <w:tc>
          <w:tcPr>
            <w:tcW w:w="567" w:type="dxa"/>
          </w:tcPr>
          <w:p w:rsidR="00857123" w:rsidRDefault="00857123" w:rsidP="00857123">
            <w:pPr>
              <w:ind w:right="-108"/>
              <w:jc w:val="center"/>
            </w:pPr>
          </w:p>
        </w:tc>
        <w:tc>
          <w:tcPr>
            <w:tcW w:w="4471" w:type="dxa"/>
          </w:tcPr>
          <w:p w:rsidR="00857123" w:rsidRDefault="00857123"/>
        </w:tc>
        <w:tc>
          <w:tcPr>
            <w:tcW w:w="4471" w:type="dxa"/>
          </w:tcPr>
          <w:p w:rsidR="00857123" w:rsidRDefault="00857123"/>
        </w:tc>
      </w:tr>
      <w:tr w:rsidR="00857123" w:rsidTr="00ED4577">
        <w:trPr>
          <w:trHeight w:val="1247"/>
        </w:trPr>
        <w:tc>
          <w:tcPr>
            <w:tcW w:w="567" w:type="dxa"/>
          </w:tcPr>
          <w:p w:rsidR="00857123" w:rsidRDefault="00857123" w:rsidP="00857123">
            <w:pPr>
              <w:ind w:right="-108"/>
              <w:jc w:val="center"/>
            </w:pPr>
          </w:p>
        </w:tc>
        <w:tc>
          <w:tcPr>
            <w:tcW w:w="4471" w:type="dxa"/>
          </w:tcPr>
          <w:p w:rsidR="00857123" w:rsidRDefault="00857123"/>
        </w:tc>
        <w:tc>
          <w:tcPr>
            <w:tcW w:w="4471" w:type="dxa"/>
          </w:tcPr>
          <w:p w:rsidR="00857123" w:rsidRDefault="00857123"/>
        </w:tc>
      </w:tr>
    </w:tbl>
    <w:p w:rsidR="00857123" w:rsidRDefault="00857123"/>
    <w:p w:rsidR="00DA0FFE" w:rsidRPr="00065F2D" w:rsidRDefault="00C96C43">
      <w:r>
        <w:t xml:space="preserve">2. </w:t>
      </w:r>
      <w:r w:rsidR="00065F2D" w:rsidRPr="00065F2D">
        <w:t>Fit</w:t>
      </w:r>
      <w:r w:rsidR="005D0B88">
        <w:noBreakHyphen/>
      </w:r>
      <w:r w:rsidR="00065F2D" w:rsidRPr="00065F2D">
        <w:t>titlu, l</w:t>
      </w:r>
      <w:r w:rsidR="005D0B88">
        <w:noBreakHyphen/>
      </w:r>
      <w:r w:rsidR="00065F2D" w:rsidRPr="00065F2D">
        <w:t>awtur jikklassifika ’l din in</w:t>
      </w:r>
      <w:r w:rsidR="005D0B88">
        <w:noBreakHyphen/>
      </w:r>
      <w:r w:rsidR="00065F2D" w:rsidRPr="00065F2D">
        <w:t>novella bħala ħrafa. Identifika żewġ elementi li nsibu fil</w:t>
      </w:r>
      <w:r w:rsidR="005D0B88">
        <w:noBreakHyphen/>
      </w:r>
      <w:r w:rsidR="00065F2D" w:rsidRPr="00065F2D">
        <w:t>ħrejjef tradizzjonali u li jinsabu f’dan ir</w:t>
      </w:r>
      <w:r w:rsidR="005D0B88">
        <w:noBreakHyphen/>
      </w:r>
      <w:r w:rsidR="007B2FEF">
        <w:t>rakkont ukoll (E</w:t>
      </w:r>
      <w:r w:rsidR="00065F2D" w:rsidRPr="00065F2D">
        <w:t>ż</w:t>
      </w:r>
      <w:r w:rsidR="007B2FEF">
        <w:t>.</w:t>
      </w:r>
      <w:r w:rsidR="00065F2D" w:rsidRPr="00065F2D">
        <w:t xml:space="preserve"> it</w:t>
      </w:r>
      <w:r w:rsidR="005D0B88">
        <w:noBreakHyphen/>
      </w:r>
      <w:r w:rsidR="00065F2D" w:rsidRPr="00065F2D">
        <w:t>tagħlima</w:t>
      </w:r>
      <w:r w:rsidR="007B2FEF">
        <w:t>,</w:t>
      </w:r>
      <w:r w:rsidR="00065F2D" w:rsidRPr="00065F2D">
        <w:t xml:space="preserve"> eċċ</w:t>
      </w:r>
      <w:r w:rsidR="007B2FEF">
        <w:t>.</w:t>
      </w:r>
      <w:r w:rsidR="00065F2D" w:rsidRPr="00065F2D">
        <w:t>)</w:t>
      </w:r>
      <w:r w:rsidR="00857123" w:rsidRPr="00065F2D">
        <w:t xml:space="preserve"> </w:t>
      </w:r>
    </w:p>
    <w:p w:rsidR="00065F2D" w:rsidRDefault="00766183" w:rsidP="00C96C43">
      <w:pPr>
        <w:spacing w:before="240"/>
      </w:pPr>
      <w:r>
        <w:pict>
          <v:rect id="_x0000_i1025" style="width:0;height:1.5pt" o:hralign="center" o:hrstd="t" o:hr="t" fillcolor="#a0a0a0" stroked="f"/>
        </w:pict>
      </w:r>
    </w:p>
    <w:p w:rsidR="00065F2D" w:rsidRDefault="00766183" w:rsidP="00C96C43">
      <w:pPr>
        <w:spacing w:before="240" w:line="240" w:lineRule="auto"/>
      </w:pPr>
      <w:r>
        <w:pict>
          <v:rect id="_x0000_i1026" style="width:0;height:1.5pt" o:hralign="center" o:hrstd="t" o:hr="t" fillcolor="#a0a0a0" stroked="f"/>
        </w:pict>
      </w:r>
    </w:p>
    <w:p w:rsidR="00C96C43" w:rsidRDefault="00C96C43">
      <w:r>
        <w:lastRenderedPageBreak/>
        <w:t xml:space="preserve">3. Semmi </w:t>
      </w:r>
      <w:r w:rsidRPr="00C96C43">
        <w:rPr>
          <w:b/>
        </w:rPr>
        <w:t>żewġ</w:t>
      </w:r>
      <w:r>
        <w:t xml:space="preserve"> temi li niltaqgħu magħhom f’din in</w:t>
      </w:r>
      <w:r w:rsidR="005D0B88">
        <w:noBreakHyphen/>
      </w:r>
      <w:r>
        <w:t>novella u għid kif inhuma evidenti f’din in</w:t>
      </w:r>
      <w:r w:rsidR="005D0B88">
        <w:noBreakHyphen/>
      </w:r>
      <w:r>
        <w:t xml:space="preserve">novella. </w:t>
      </w:r>
    </w:p>
    <w:p w:rsidR="00C96C43" w:rsidRDefault="00766183" w:rsidP="00C96C43">
      <w:r>
        <w:pict>
          <v:rect id="_x0000_i1027" style="width:0;height:1.5pt" o:hralign="center" o:hrstd="t" o:hr="t" fillcolor="#a0a0a0" stroked="f"/>
        </w:pict>
      </w:r>
    </w:p>
    <w:p w:rsidR="00C96C43" w:rsidRDefault="00766183" w:rsidP="00C96C43">
      <w:r>
        <w:pict>
          <v:rect id="_x0000_i1028" style="width:0;height:1.5pt" o:hralign="center" o:hrstd="t" o:hr="t" fillcolor="#a0a0a0" stroked="f"/>
        </w:pict>
      </w:r>
    </w:p>
    <w:p w:rsidR="00C96C43" w:rsidRDefault="00766183" w:rsidP="00C96C43">
      <w:r>
        <w:pict>
          <v:rect id="_x0000_i1029" style="width:0;height:1.5pt" o:hralign="center" o:hrstd="t" o:hr="t" fillcolor="#a0a0a0" stroked="f"/>
        </w:pict>
      </w:r>
    </w:p>
    <w:p w:rsidR="00C96C43" w:rsidRDefault="00766183" w:rsidP="00C96C43">
      <w:r>
        <w:pict>
          <v:rect id="_x0000_i1030" style="width:0;height:1.5pt" o:hralign="center" o:hrstd="t" o:hr="t" fillcolor="#a0a0a0" stroked="f"/>
        </w:pict>
      </w:r>
    </w:p>
    <w:p w:rsidR="00C96C43" w:rsidRDefault="00C96C43" w:rsidP="00C96C43"/>
    <w:p w:rsidR="00C96C43" w:rsidRDefault="00135019" w:rsidP="00C96C43">
      <w:r>
        <w:t>4a.</w:t>
      </w:r>
      <w:r w:rsidR="007B2FEF">
        <w:t xml:space="preserve"> </w:t>
      </w:r>
      <w:r w:rsidR="00C96C43">
        <w:t>Spjega kif</w:t>
      </w:r>
      <w:r>
        <w:t xml:space="preserve"> Żahra juża s</w:t>
      </w:r>
      <w:r w:rsidR="005D0B88">
        <w:noBreakHyphen/>
      </w:r>
      <w:r>
        <w:t>sarkażmu (jiġbed sieq xi ħadd, jgħid bil</w:t>
      </w:r>
      <w:r w:rsidR="005D0B88">
        <w:noBreakHyphen/>
      </w:r>
      <w:r>
        <w:t>kontra jew iwaqqa’ għaċ</w:t>
      </w:r>
      <w:r w:rsidR="005D0B88">
        <w:noBreakHyphen/>
      </w:r>
      <w:r>
        <w:t>ċajt) waqt li jiddeskrivi l</w:t>
      </w:r>
      <w:r w:rsidR="005D0B88">
        <w:noBreakHyphen/>
      </w:r>
      <w:r>
        <w:t>karattru tas</w:t>
      </w:r>
      <w:r w:rsidR="005D0B88">
        <w:noBreakHyphen/>
      </w:r>
      <w:r>
        <w:t>Sinjura Adeodata? Ikteb kwotazzjonijiet li jsaħħu r</w:t>
      </w:r>
      <w:r w:rsidR="005D0B88">
        <w:noBreakHyphen/>
      </w:r>
      <w:r>
        <w:t xml:space="preserve">risposta tiegħek.  </w:t>
      </w:r>
    </w:p>
    <w:p w:rsidR="00135019" w:rsidRDefault="00766183" w:rsidP="00C96C43">
      <w:r>
        <w:pict>
          <v:rect id="_x0000_i1031" style="width:0;height:1.5pt" o:hralign="center" o:hrstd="t" o:hr="t" fillcolor="#a0a0a0" stroked="f"/>
        </w:pict>
      </w:r>
    </w:p>
    <w:p w:rsidR="00135019" w:rsidRDefault="00766183" w:rsidP="00C96C43">
      <w:r>
        <w:pict>
          <v:rect id="_x0000_i1032" style="width:0;height:1.5pt" o:hralign="center" o:hrstd="t" o:hr="t" fillcolor="#a0a0a0" stroked="f"/>
        </w:pict>
      </w:r>
    </w:p>
    <w:p w:rsidR="00135019" w:rsidRDefault="00766183" w:rsidP="00C96C43">
      <w:r>
        <w:pict>
          <v:rect id="_x0000_i1033" style="width:0;height:1.5pt" o:hralign="center" o:hrstd="t" o:hr="t" fillcolor="#a0a0a0" stroked="f"/>
        </w:pict>
      </w:r>
    </w:p>
    <w:p w:rsidR="00065F2D" w:rsidRDefault="00135019" w:rsidP="00C96C43">
      <w:r>
        <w:t>b. X’inhi l</w:t>
      </w:r>
      <w:r w:rsidR="005D0B88">
        <w:noBreakHyphen/>
      </w:r>
      <w:r>
        <w:t>opinjoni tiegħek dwar l</w:t>
      </w:r>
      <w:r w:rsidR="005D0B88">
        <w:noBreakHyphen/>
      </w:r>
      <w:r>
        <w:t>użu tas</w:t>
      </w:r>
      <w:r w:rsidR="005D0B88">
        <w:noBreakHyphen/>
      </w:r>
      <w:r>
        <w:t>sarkażmu f’din in</w:t>
      </w:r>
      <w:r w:rsidR="005D0B88">
        <w:noBreakHyphen/>
      </w:r>
      <w:r>
        <w:t>novella. Taħseb li dan l</w:t>
      </w:r>
      <w:r w:rsidR="005D0B88">
        <w:noBreakHyphen/>
      </w:r>
      <w:r>
        <w:t>istil isaħħaħ jew idgħajjef l</w:t>
      </w:r>
      <w:r w:rsidR="005D0B88">
        <w:noBreakHyphen/>
      </w:r>
      <w:r>
        <w:t>effettività letterarja tal</w:t>
      </w:r>
      <w:r w:rsidR="005D0B88">
        <w:noBreakHyphen/>
      </w:r>
      <w:r>
        <w:t xml:space="preserve">awtur? </w:t>
      </w:r>
      <w:r w:rsidR="00C96C43">
        <w:t xml:space="preserve"> </w:t>
      </w:r>
    </w:p>
    <w:p w:rsidR="00135019" w:rsidRDefault="00766183" w:rsidP="00C96C43">
      <w:r>
        <w:pict>
          <v:rect id="_x0000_i1034" style="width:0;height:1.5pt" o:hralign="center" o:hrstd="t" o:hr="t" fillcolor="#a0a0a0" stroked="f"/>
        </w:pict>
      </w:r>
    </w:p>
    <w:p w:rsidR="00135019" w:rsidRDefault="00766183" w:rsidP="00C96C43">
      <w:r>
        <w:pict>
          <v:rect id="_x0000_i1035" style="width:0;height:1.5pt" o:hralign="center" o:hrstd="t" o:hr="t" fillcolor="#a0a0a0" stroked="f"/>
        </w:pict>
      </w:r>
    </w:p>
    <w:p w:rsidR="00135019" w:rsidRDefault="00766183" w:rsidP="00C96C43">
      <w:r>
        <w:pict>
          <v:rect id="_x0000_i1036" style="width:0;height:1.5pt" o:hralign="center" o:hrstd="t" o:hr="t" fillcolor="#a0a0a0" stroked="f"/>
        </w:pict>
      </w:r>
    </w:p>
    <w:p w:rsidR="00CA7636" w:rsidRDefault="00CA7636">
      <w:r>
        <w:t>5. X’karatteristiċi tinnota f’din in</w:t>
      </w:r>
      <w:r w:rsidR="005D0B88">
        <w:noBreakHyphen/>
      </w:r>
      <w:r>
        <w:t>novella li jwasslu lill</w:t>
      </w:r>
      <w:r w:rsidR="005D0B88">
        <w:noBreakHyphen/>
      </w:r>
      <w:r>
        <w:t>qarrej jidħol aktar fl</w:t>
      </w:r>
      <w:r w:rsidR="005D0B88">
        <w:noBreakHyphen/>
      </w:r>
      <w:r>
        <w:t>istorja u jħossha qed tiġri madwaru u fl</w:t>
      </w:r>
      <w:r w:rsidR="005D0B88">
        <w:noBreakHyphen/>
      </w:r>
      <w:r>
        <w:t xml:space="preserve">istess ħin </w:t>
      </w:r>
      <w:r w:rsidR="00EE3B93">
        <w:t xml:space="preserve">tagħtih </w:t>
      </w:r>
      <w:r>
        <w:t>esperjenza letterarja pjaċevoli?</w:t>
      </w:r>
    </w:p>
    <w:p w:rsidR="00CA7636" w:rsidRDefault="00766183" w:rsidP="00CA7636">
      <w:r>
        <w:pict>
          <v:rect id="_x0000_i1037" style="width:0;height:1.5pt" o:hralign="center" o:hrstd="t" o:hr="t" fillcolor="#a0a0a0" stroked="f"/>
        </w:pict>
      </w:r>
    </w:p>
    <w:p w:rsidR="00CA7636" w:rsidRDefault="00766183" w:rsidP="00CA7636">
      <w:r>
        <w:pict>
          <v:rect id="_x0000_i1038" style="width:0;height:1.5pt" o:hralign="center" o:hrstd="t" o:hr="t" fillcolor="#a0a0a0" stroked="f"/>
        </w:pict>
      </w:r>
    </w:p>
    <w:p w:rsidR="00CA7636" w:rsidRDefault="00766183" w:rsidP="00CA7636">
      <w:r>
        <w:pict>
          <v:rect id="_x0000_i1039" style="width:0;height:1.5pt" o:hralign="center" o:hrstd="t" o:hr="t" fillcolor="#a0a0a0" stroked="f"/>
        </w:pict>
      </w:r>
    </w:p>
    <w:p w:rsidR="00E42040" w:rsidRDefault="00CA7636" w:rsidP="00CA7636">
      <w:r>
        <w:t>6.</w:t>
      </w:r>
      <w:r w:rsidR="00EE3B93">
        <w:t xml:space="preserve"> Permezz ta’ dak li jiġri lis</w:t>
      </w:r>
      <w:r w:rsidR="005D0B88">
        <w:noBreakHyphen/>
      </w:r>
      <w:r w:rsidR="00EE3B93">
        <w:t>Sinjura Adeodata, l</w:t>
      </w:r>
      <w:r w:rsidR="005D0B88">
        <w:noBreakHyphen/>
      </w:r>
      <w:r w:rsidR="00EE3B93">
        <w:t>awtur irid iwassal il</w:t>
      </w:r>
      <w:r w:rsidR="005D0B88">
        <w:noBreakHyphen/>
      </w:r>
      <w:r w:rsidR="00EE3B93">
        <w:t>messaġġ li għandna nkunu kuntenti b’dak li għandna. Taħseb li dan il</w:t>
      </w:r>
      <w:r w:rsidR="005D0B88">
        <w:noBreakHyphen/>
      </w:r>
      <w:r w:rsidR="00EE3B93">
        <w:t xml:space="preserve">messaġġ huwa rifless </w:t>
      </w:r>
      <w:r w:rsidR="007C7F96">
        <w:t xml:space="preserve">f’dak li naraw u nisimgħu </w:t>
      </w:r>
      <w:r w:rsidR="00E42040">
        <w:t>mhux biss f’pajjiżna imma wkoll anke ’l bogħod minn xtutna</w:t>
      </w:r>
      <w:r w:rsidR="007C7F96">
        <w:t>?</w:t>
      </w:r>
      <w:r w:rsidR="00E42040">
        <w:t xml:space="preserve"> </w:t>
      </w:r>
    </w:p>
    <w:p w:rsidR="00E42040" w:rsidRDefault="00766183" w:rsidP="00836F26">
      <w:r>
        <w:pict>
          <v:rect id="_x0000_i1040" style="width:0;height:1.5pt" o:hralign="center" o:hrstd="t" o:hr="t" fillcolor="#a0a0a0" stroked="f"/>
        </w:pict>
      </w:r>
    </w:p>
    <w:p w:rsidR="00836F26" w:rsidRDefault="00766183" w:rsidP="00836F26">
      <w:r>
        <w:pict>
          <v:rect id="_x0000_i1041" style="width:0;height:1.5pt" o:hralign="center" o:hrstd="t" o:hr="t" fillcolor="#a0a0a0" stroked="f"/>
        </w:pict>
      </w:r>
    </w:p>
    <w:p w:rsidR="00836F26" w:rsidRDefault="007B2FEF" w:rsidP="00CA7636">
      <w:r>
        <w:t>7. La</w:t>
      </w:r>
      <w:r w:rsidR="00E42040">
        <w:t>darba din in</w:t>
      </w:r>
      <w:r w:rsidR="005D0B88">
        <w:noBreakHyphen/>
      </w:r>
      <w:r w:rsidR="00E42040">
        <w:t>novella qed tittrat</w:t>
      </w:r>
      <w:r w:rsidR="00836F26">
        <w:t xml:space="preserve">ta temi li jappellaw għal nies minn </w:t>
      </w:r>
      <w:r w:rsidR="00E42040">
        <w:t xml:space="preserve">pajjiżi, kulturi u </w:t>
      </w:r>
      <w:r w:rsidR="00836F26">
        <w:t>żminijiet differenti, taħseb li din in</w:t>
      </w:r>
      <w:r w:rsidR="005D0B88">
        <w:noBreakHyphen/>
      </w:r>
      <w:r w:rsidR="00836F26">
        <w:t xml:space="preserve">novella tista’ titqies bħala li għandha element b’saħħtu ta’ universalità? Agħti </w:t>
      </w:r>
      <w:r>
        <w:t>r-</w:t>
      </w:r>
      <w:r w:rsidR="00836F26">
        <w:t>raġunijiet għar</w:t>
      </w:r>
      <w:r w:rsidR="005D0B88">
        <w:noBreakHyphen/>
      </w:r>
      <w:r w:rsidR="00836F26">
        <w:t xml:space="preserve">risposta tiegħek. </w:t>
      </w:r>
    </w:p>
    <w:p w:rsidR="00836F26" w:rsidRDefault="00766183" w:rsidP="00CA7636">
      <w:r>
        <w:pict>
          <v:rect id="_x0000_i1042" style="width:0;height:1.5pt" o:hralign="center" o:hrstd="t" o:hr="t" fillcolor="#a0a0a0" stroked="f"/>
        </w:pict>
      </w:r>
    </w:p>
    <w:p w:rsidR="00065F2D" w:rsidRDefault="00766183">
      <w:r>
        <w:pict>
          <v:rect id="_x0000_i1043" style="width:0;height:1.5pt" o:hralign="center" o:hrstd="t" o:hr="t" fillcolor="#a0a0a0" stroked="f"/>
        </w:pict>
      </w:r>
    </w:p>
    <w:sectPr w:rsidR="00065F2D" w:rsidSect="00065809">
      <w:headerReference w:type="default" r:id="rId9"/>
      <w:footerReference w:type="default" r:id="rId10"/>
      <w:footerReference w:type="first" r:id="rId11"/>
      <w:pgSz w:w="11906" w:h="16838"/>
      <w:pgMar w:top="1077" w:right="1361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83" w:rsidRDefault="00766183" w:rsidP="00836F26">
      <w:pPr>
        <w:spacing w:after="0" w:line="240" w:lineRule="auto"/>
      </w:pPr>
      <w:r>
        <w:separator/>
      </w:r>
    </w:p>
  </w:endnote>
  <w:endnote w:type="continuationSeparator" w:id="0">
    <w:p w:rsidR="00766183" w:rsidRDefault="00766183" w:rsidP="0083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908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F26" w:rsidRDefault="00836F26" w:rsidP="00065809">
        <w:pPr>
          <w:pStyle w:val="Footer"/>
          <w:jc w:val="right"/>
        </w:pPr>
        <w:r>
          <w:t>Isem: ______________________</w:t>
        </w:r>
        <w:r w:rsidR="00065809">
          <w:t xml:space="preserve">                       </w:t>
        </w:r>
        <w:r>
          <w:t xml:space="preserve"> Klassi: ___________________</w:t>
        </w:r>
        <w:r w:rsidR="00065809">
          <w:t xml:space="preserve">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F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6F26" w:rsidRDefault="00836F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809" w:rsidRPr="00065809" w:rsidRDefault="00065809" w:rsidP="00065809">
    <w:pPr>
      <w:pStyle w:val="Footer"/>
      <w:tabs>
        <w:tab w:val="clear" w:pos="9026"/>
        <w:tab w:val="right" w:pos="9468"/>
      </w:tabs>
      <w:rPr>
        <w:b/>
      </w:rPr>
    </w:pPr>
    <w:r w:rsidRPr="00065809">
      <w:rPr>
        <w:b/>
      </w:rPr>
      <w:t>malti.skola.edu.mt</w:t>
    </w:r>
    <w:r w:rsidRPr="00065809">
      <w:rPr>
        <w:b/>
      </w:rPr>
      <w:tab/>
    </w:r>
    <w:r w:rsidRPr="00065809">
      <w:rPr>
        <w:b/>
      </w:rPr>
      <w:tab/>
      <w:t xml:space="preserve">        </w:t>
    </w:r>
    <w:r>
      <w:rPr>
        <w:b/>
      </w:rPr>
      <w:t xml:space="preserve">      </w:t>
    </w:r>
    <w:r w:rsidRPr="00065809">
      <w:rPr>
        <w:b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83" w:rsidRDefault="00766183" w:rsidP="00836F26">
      <w:pPr>
        <w:spacing w:after="0" w:line="240" w:lineRule="auto"/>
      </w:pPr>
      <w:r>
        <w:separator/>
      </w:r>
    </w:p>
  </w:footnote>
  <w:footnote w:type="continuationSeparator" w:id="0">
    <w:p w:rsidR="00766183" w:rsidRDefault="00766183" w:rsidP="0083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F26" w:rsidRPr="00836F26" w:rsidRDefault="00836F26" w:rsidP="00836F26">
    <w:pPr>
      <w:pStyle w:val="Header"/>
      <w:pBdr>
        <w:bottom w:val="single" w:sz="4" w:space="1" w:color="auto"/>
      </w:pBdr>
      <w:tabs>
        <w:tab w:val="clear" w:pos="9026"/>
        <w:tab w:val="right" w:pos="9468"/>
      </w:tabs>
      <w:rPr>
        <w:b/>
      </w:rPr>
    </w:pPr>
    <w:r w:rsidRPr="00836F26">
      <w:rPr>
        <w:b/>
      </w:rPr>
      <w:t>Il-Ħrafa ta’ www.kullkulur.com - Trevor ahra</w:t>
    </w:r>
    <w:r w:rsidRPr="00836F26">
      <w:rPr>
        <w:b/>
      </w:rPr>
      <w:tab/>
    </w:r>
    <w:r w:rsidRPr="00836F26">
      <w:rPr>
        <w:b/>
      </w:rPr>
      <w:tab/>
      <w:t>Taħriġ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FE"/>
    <w:rsid w:val="00065809"/>
    <w:rsid w:val="00065F2D"/>
    <w:rsid w:val="00135019"/>
    <w:rsid w:val="005A6B47"/>
    <w:rsid w:val="005D0B88"/>
    <w:rsid w:val="00717AAF"/>
    <w:rsid w:val="00766183"/>
    <w:rsid w:val="007B2FEF"/>
    <w:rsid w:val="007C7F96"/>
    <w:rsid w:val="00836F26"/>
    <w:rsid w:val="00857123"/>
    <w:rsid w:val="008909BE"/>
    <w:rsid w:val="00A9176A"/>
    <w:rsid w:val="00C96C43"/>
    <w:rsid w:val="00CA7636"/>
    <w:rsid w:val="00DA0FFE"/>
    <w:rsid w:val="00DD0A13"/>
    <w:rsid w:val="00E124E3"/>
    <w:rsid w:val="00E42040"/>
    <w:rsid w:val="00ED4577"/>
    <w:rsid w:val="00EE3B93"/>
    <w:rsid w:val="00F8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2BBB8-88B6-4403-815C-D74C2A63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F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2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36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2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C28724CB-623D-409F-A37D-8517423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2024-02-09T12:40:00Z</cp:lastPrinted>
  <dcterms:created xsi:type="dcterms:W3CDTF">2024-02-09T09:27:00Z</dcterms:created>
  <dcterms:modified xsi:type="dcterms:W3CDTF">2024-02-15T08:09:00Z</dcterms:modified>
</cp:coreProperties>
</file>